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ALR Survey Preparedness Checklist</w:t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rFonts w:ascii="Trebuchet MS" w:cs="Trebuchet MS" w:eastAsia="Trebuchet MS" w:hAnsi="Trebuchet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Below is a list of commonly requested items during a re-licensure survey inspection*.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These items are expected to be provided as soon as possible, and as they become available on an individual item basis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. This list serves as guidance for all survey types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and is subject to change upon inspection.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Resident Roster</w:t>
      </w:r>
    </w:p>
    <w:p w:rsidR="00000000" w:rsidDel="00000000" w:rsidP="00000000" w:rsidRDefault="00000000" w:rsidRPr="00000000" w14:paraId="00000009">
      <w:pPr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Personnel Information (refer to 7.12)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Staff List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Contact information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Criminal History Record Checks and CAPS Checks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Influenza vaccination records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TB testing for employees and volunteers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Evidence of trainings and certifications (including QMAP verification)</w:t>
      </w:r>
    </w:p>
    <w:p w:rsidR="00000000" w:rsidDel="00000000" w:rsidP="00000000" w:rsidRDefault="00000000" w:rsidRPr="00000000" w14:paraId="00000011">
      <w:pPr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Staff Schedule</w:t>
      </w:r>
    </w:p>
    <w:p w:rsidR="00000000" w:rsidDel="00000000" w:rsidP="00000000" w:rsidRDefault="00000000" w:rsidRPr="00000000" w14:paraId="00000013">
      <w:pPr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Administrator Training Certification</w:t>
      </w:r>
    </w:p>
    <w:p w:rsidR="00000000" w:rsidDel="00000000" w:rsidP="00000000" w:rsidRDefault="00000000" w:rsidRPr="00000000" w14:paraId="00000015">
      <w:pPr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Policies and Procedures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Please review the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ALR Policy and Procedure Guidance Document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to ensure policy compliance</w:t>
      </w:r>
    </w:p>
    <w:p w:rsidR="00000000" w:rsidDel="00000000" w:rsidP="00000000" w:rsidRDefault="00000000" w:rsidRPr="00000000" w14:paraId="00000018">
      <w:pPr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Access to Complete Resident Records (refer to 12.8, 18.8). For example, MARs, comprehensive assessments, practitioner's orders, progress notes, face sheets, care plans etc.</w:t>
      </w:r>
    </w:p>
    <w:p w:rsidR="00000000" w:rsidDel="00000000" w:rsidP="00000000" w:rsidRDefault="00000000" w:rsidRPr="00000000" w14:paraId="0000001A">
      <w:pPr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Quality Management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Abuse/Neglect/Exploitation/Injuries of Unknown Origin Investigations </w:t>
      </w:r>
    </w:p>
    <w:p w:rsidR="00000000" w:rsidDel="00000000" w:rsidP="00000000" w:rsidRDefault="00000000" w:rsidRPr="00000000" w14:paraId="0000001E">
      <w:pPr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Incident Reports</w:t>
      </w:r>
    </w:p>
    <w:p w:rsidR="00000000" w:rsidDel="00000000" w:rsidP="00000000" w:rsidRDefault="00000000" w:rsidRPr="00000000" w14:paraId="00000020">
      <w:pPr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Resident Agreement Template</w:t>
      </w:r>
    </w:p>
    <w:p w:rsidR="00000000" w:rsidDel="00000000" w:rsidP="00000000" w:rsidRDefault="00000000" w:rsidRPr="00000000" w14:paraId="00000022">
      <w:pPr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Notices of Involuntary Discharge</w: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462213" cy="43815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2213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Trebuchet MS" w:cs="Trebuchet MS" w:eastAsia="Trebuchet MS" w:hAnsi="Trebuchet MS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sz w:val="18"/>
        <w:szCs w:val="18"/>
        <w:rtl w:val="0"/>
      </w:rPr>
      <w:t xml:space="preserve">*Note: Every inspection is different and may require additional requests.</w:t>
    </w:r>
  </w:p>
  <w:p w:rsidR="00000000" w:rsidDel="00000000" w:rsidP="00000000" w:rsidRDefault="00000000" w:rsidRPr="00000000" w14:paraId="00000025">
    <w:pPr>
      <w:rPr>
        <w:rFonts w:ascii="Trebuchet MS" w:cs="Trebuchet MS" w:eastAsia="Trebuchet MS" w:hAnsi="Trebuchet MS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sz w:val="18"/>
        <w:szCs w:val="18"/>
        <w:rtl w:val="0"/>
      </w:rPr>
      <w:t xml:space="preserve">Rev. 4.9.24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3Hz9iachnTpT5C3GvqcGp8kyQ00OeBxxX2Et70JLgXs/edit" TargetMode="Externa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